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303D" w:rsidRDefault="00BE332E">
      <w:pPr>
        <w:shd w:val="clear" w:color="auto" w:fill="FFFFFF"/>
        <w:spacing w:after="0" w:line="240" w:lineRule="auto"/>
        <w:jc w:val="center"/>
        <w:rPr>
          <w:rFonts w:ascii="Nunito Sans" w:eastAsia="Nunito Sans" w:hAnsi="Nunito Sans" w:cs="Nunito Sans"/>
          <w:b/>
          <w:smallCaps/>
          <w:color w:val="EF3E2E"/>
          <w:sz w:val="30"/>
          <w:szCs w:val="30"/>
        </w:rPr>
      </w:pPr>
      <w:hyperlink r:id="rId5">
        <w:r>
          <w:rPr>
            <w:rFonts w:ascii="Nunito Sans" w:eastAsia="Nunito Sans" w:hAnsi="Nunito Sans" w:cs="Nunito Sans"/>
            <w:b/>
            <w:smallCaps/>
            <w:color w:val="1155CC"/>
            <w:sz w:val="30"/>
            <w:szCs w:val="30"/>
            <w:u w:val="single"/>
          </w:rPr>
          <w:t>ELECTRIC AGGREGATION NOT RENEWING</w:t>
        </w:r>
      </w:hyperlink>
    </w:p>
    <w:p w14:paraId="00000002" w14:textId="77777777" w:rsidR="00DD303D" w:rsidRDefault="00DD303D">
      <w:pPr>
        <w:shd w:val="clear" w:color="auto" w:fill="FFFFFF"/>
        <w:spacing w:after="0" w:line="240" w:lineRule="auto"/>
        <w:jc w:val="center"/>
        <w:rPr>
          <w:rFonts w:ascii="Arial" w:eastAsia="Arial" w:hAnsi="Arial" w:cs="Arial"/>
          <w:color w:val="222222"/>
          <w:sz w:val="24"/>
          <w:szCs w:val="24"/>
        </w:rPr>
      </w:pPr>
      <w:bookmarkStart w:id="0" w:name="_heading=h.gjdgxs" w:colFirst="0" w:colLast="0"/>
      <w:bookmarkEnd w:id="0"/>
    </w:p>
    <w:p w14:paraId="00000003" w14:textId="77777777" w:rsidR="00DD303D" w:rsidRDefault="00BE332E">
      <w:pPr>
        <w:shd w:val="clear" w:color="auto" w:fill="FFFFFF"/>
        <w:spacing w:after="150"/>
        <w:jc w:val="both"/>
        <w:rPr>
          <w:rFonts w:ascii="Arial" w:eastAsia="Arial" w:hAnsi="Arial" w:cs="Arial"/>
          <w:color w:val="222222"/>
          <w:sz w:val="24"/>
          <w:szCs w:val="24"/>
        </w:rPr>
      </w:pPr>
      <w:r>
        <w:rPr>
          <w:rFonts w:ascii="Nunito Sans" w:eastAsia="Nunito Sans" w:hAnsi="Nunito Sans" w:cs="Nunito Sans"/>
          <w:color w:val="333333"/>
          <w:sz w:val="21"/>
          <w:szCs w:val="21"/>
        </w:rPr>
        <w:t>The Village of Newtown’s current Electric Aggregation Program expires in December 2022. The goal for Energy Alliances, Newtown’s energy consultant, was to find an alternative supplier able to beat Duke Energy Ohio’s default generation rate of 6.38¢ per kWh before the program’s expiration. After thorough analysis, Energy Alliances did not find a supplier that could compete with Duke Energy Ohio’s rate and suggested to Newtown that it not renew the electric aggregation program. Energy Alliances recommended that all the accounts on the program go back to Duke Energy Ohio’s default generation rate.</w:t>
      </w:r>
    </w:p>
    <w:p w14:paraId="00000004" w14:textId="77777777" w:rsidR="00DD303D" w:rsidRDefault="00BE332E">
      <w:pPr>
        <w:shd w:val="clear" w:color="auto" w:fill="FFFFFF"/>
        <w:spacing w:after="150"/>
        <w:jc w:val="both"/>
        <w:rPr>
          <w:rFonts w:ascii="Arial" w:eastAsia="Arial" w:hAnsi="Arial" w:cs="Arial"/>
          <w:color w:val="222222"/>
          <w:sz w:val="24"/>
          <w:szCs w:val="24"/>
        </w:rPr>
      </w:pPr>
      <w:r>
        <w:rPr>
          <w:rFonts w:ascii="Nunito Sans" w:eastAsia="Nunito Sans" w:hAnsi="Nunito Sans" w:cs="Nunito Sans"/>
          <w:color w:val="333333"/>
          <w:sz w:val="21"/>
          <w:szCs w:val="21"/>
        </w:rPr>
        <w:t>Energy Alliances will continue to watch the market and plans to bring options to Newtown if they see a favorable alternative. The earliest the program would return is likely Spring of 2023.</w:t>
      </w:r>
    </w:p>
    <w:p w14:paraId="00000005" w14:textId="77777777" w:rsidR="00DD303D" w:rsidRDefault="00BE332E">
      <w:pPr>
        <w:shd w:val="clear" w:color="auto" w:fill="FFFFFF"/>
        <w:spacing w:after="150"/>
        <w:jc w:val="both"/>
        <w:rPr>
          <w:rFonts w:ascii="Arial" w:eastAsia="Arial" w:hAnsi="Arial" w:cs="Arial"/>
          <w:color w:val="222222"/>
          <w:sz w:val="24"/>
          <w:szCs w:val="24"/>
        </w:rPr>
      </w:pPr>
      <w:r>
        <w:rPr>
          <w:rFonts w:ascii="Nunito Sans" w:eastAsia="Nunito Sans" w:hAnsi="Nunito Sans" w:cs="Nunito Sans"/>
          <w:color w:val="333333"/>
          <w:sz w:val="21"/>
          <w:szCs w:val="21"/>
        </w:rPr>
        <w:t> </w:t>
      </w:r>
      <w:hyperlink r:id="rId6">
        <w:r>
          <w:rPr>
            <w:rFonts w:ascii="Nunito Sans" w:eastAsia="Nunito Sans" w:hAnsi="Nunito Sans" w:cs="Nunito Sans"/>
            <w:color w:val="0563C1"/>
            <w:sz w:val="21"/>
            <w:szCs w:val="21"/>
            <w:u w:val="single"/>
          </w:rPr>
          <w:t>https://energyalliances.com/village-of-newtown</w:t>
        </w:r>
      </w:hyperlink>
      <w:r>
        <w:rPr>
          <w:rFonts w:ascii="Nunito Sans" w:eastAsia="Nunito Sans" w:hAnsi="Nunito Sans" w:cs="Nunito Sans"/>
          <w:color w:val="333333"/>
          <w:sz w:val="21"/>
          <w:szCs w:val="21"/>
        </w:rPr>
        <w:t> </w:t>
      </w:r>
    </w:p>
    <w:p w14:paraId="00000006" w14:textId="77777777" w:rsidR="00DD303D" w:rsidRDefault="00BE332E">
      <w:pPr>
        <w:shd w:val="clear" w:color="auto" w:fill="FFFFFF"/>
        <w:spacing w:after="150"/>
        <w:rPr>
          <w:rFonts w:ascii="Arial" w:eastAsia="Arial" w:hAnsi="Arial" w:cs="Arial"/>
          <w:color w:val="888888"/>
          <w:sz w:val="24"/>
          <w:szCs w:val="24"/>
          <w:highlight w:val="white"/>
        </w:rPr>
      </w:pPr>
      <w:r>
        <w:rPr>
          <w:rFonts w:ascii="Arial" w:eastAsia="Arial" w:hAnsi="Arial" w:cs="Arial"/>
          <w:color w:val="888888"/>
          <w:sz w:val="24"/>
          <w:szCs w:val="24"/>
          <w:highlight w:val="white"/>
        </w:rPr>
        <w:t> </w:t>
      </w:r>
    </w:p>
    <w:p w14:paraId="00000007" w14:textId="77777777" w:rsidR="00DD303D" w:rsidRDefault="00DD303D"/>
    <w:sectPr w:rsidR="00DD30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03D"/>
    <w:rsid w:val="003846EB"/>
    <w:rsid w:val="00BE332E"/>
    <w:rsid w:val="00DD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05BDC-0D0F-40D3-9149-303C2028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72C62"/>
    <w:rPr>
      <w:color w:val="0563C1" w:themeColor="hyperlink"/>
      <w:u w:val="single"/>
    </w:rPr>
  </w:style>
  <w:style w:type="character" w:styleId="UnresolvedMention">
    <w:name w:val="Unresolved Mention"/>
    <w:basedOn w:val="DefaultParagraphFont"/>
    <w:uiPriority w:val="99"/>
    <w:semiHidden/>
    <w:unhideWhenUsed/>
    <w:rsid w:val="00B72C6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ergyalliances.com/village-of-newtown" TargetMode="External"/><Relationship Id="rId5" Type="http://schemas.openxmlformats.org/officeDocument/2006/relationships/hyperlink" Target="https://energyalliances.com/september-2022-electric/electric-aggregation-not-renew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eDXO0bjCldKLV355OxGaZHfLA==">AMUW2mWXWfHzTGU+pSDt7FAoJbwsYeT103tV/aXWiyGSFT/Vnz0YNiaJyafkyvqxE4UG3N9E39XpH896+PGVHxEvE9yYcZiwlr7y895FmH43JdF450SevNeHZcwbZ14DzsJJZ3j2Jsgw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Becky Fairley</cp:lastModifiedBy>
  <cp:revision>2</cp:revision>
  <dcterms:created xsi:type="dcterms:W3CDTF">2022-10-11T15:25:00Z</dcterms:created>
  <dcterms:modified xsi:type="dcterms:W3CDTF">2022-10-11T15:25:00Z</dcterms:modified>
</cp:coreProperties>
</file>